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CB" w:rsidRPr="00162949" w:rsidRDefault="008375CB" w:rsidP="008375C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bookmarkStart w:id="0" w:name="_GoBack"/>
      <w:r w:rsidRPr="0016294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МИНИСТЕРСТВО ЗДРАВООХРАНЕНИЯ РОССИЙСКОЙ ФЕДЕРАЦИИ</w:t>
      </w:r>
    </w:p>
    <w:p w:rsidR="008375CB" w:rsidRPr="00162949" w:rsidRDefault="008375CB" w:rsidP="008375C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4"/>
          <w:szCs w:val="14"/>
          <w:lang w:eastAsia="ru-RU"/>
        </w:rPr>
      </w:pPr>
    </w:p>
    <w:p w:rsidR="008375CB" w:rsidRPr="00162949" w:rsidRDefault="008375CB" w:rsidP="008375C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4"/>
          <w:szCs w:val="14"/>
          <w:lang w:eastAsia="ru-RU"/>
        </w:rPr>
      </w:pPr>
      <w:r w:rsidRPr="00162949">
        <w:rPr>
          <w:rFonts w:ascii="Times New Roman" w:eastAsia="Times New Roman" w:hAnsi="Times New Roman" w:cs="Times New Roman"/>
          <w:b/>
          <w:caps/>
          <w:sz w:val="14"/>
          <w:szCs w:val="14"/>
          <w:lang w:eastAsia="ru-RU"/>
        </w:rPr>
        <w:t xml:space="preserve">ИНСТРУКЦИЯ </w:t>
      </w:r>
    </w:p>
    <w:p w:rsidR="008375CB" w:rsidRPr="00162949" w:rsidRDefault="008375CB" w:rsidP="008375C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62949">
        <w:rPr>
          <w:rFonts w:ascii="Times New Roman" w:eastAsia="Times New Roman" w:hAnsi="Times New Roman" w:cs="Times New Roman"/>
          <w:sz w:val="14"/>
          <w:szCs w:val="14"/>
          <w:lang w:eastAsia="ru-RU"/>
        </w:rPr>
        <w:t>по применению лекарственного препарата для медицинского применения</w:t>
      </w:r>
    </w:p>
    <w:p w:rsidR="008375CB" w:rsidRPr="00162949" w:rsidRDefault="008375CB" w:rsidP="008375C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4"/>
          <w:szCs w:val="14"/>
          <w:lang w:eastAsia="ru-RU"/>
        </w:rPr>
      </w:pPr>
    </w:p>
    <w:p w:rsidR="008375CB" w:rsidRDefault="008375CB" w:rsidP="008375CB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sectPr w:rsidR="008375CB" w:rsidSect="009547EB">
          <w:pgSz w:w="10206" w:h="20979" w:code="8"/>
          <w:pgMar w:top="567" w:right="397" w:bottom="567" w:left="397" w:header="709" w:footer="709" w:gutter="0"/>
          <w:cols w:space="708"/>
          <w:docGrid w:linePitch="360"/>
        </w:sectPr>
      </w:pPr>
      <w:r w:rsidRPr="0016294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ДИФЕНИН</w:t>
      </w:r>
    </w:p>
    <w:p w:rsidR="008375CB" w:rsidRPr="00F228B4" w:rsidRDefault="008375CB" w:rsidP="008375CB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Торговое название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: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</w:t>
      </w:r>
      <w:proofErr w:type="spellEnd"/>
    </w:p>
    <w:p w:rsidR="008375CB" w:rsidRPr="00F228B4" w:rsidRDefault="008375CB" w:rsidP="008375CB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Международное непатентованное наименование: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</w:p>
    <w:p w:rsidR="008375CB" w:rsidRPr="00F228B4" w:rsidRDefault="008375CB" w:rsidP="008375CB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Лекарственная форма: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таблетки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Состав: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</w:tblGrid>
      <w:tr w:rsidR="008375CB" w:rsidRPr="00F228B4" w:rsidTr="00763890">
        <w:trPr>
          <w:trHeight w:val="771"/>
        </w:trPr>
        <w:tc>
          <w:tcPr>
            <w:tcW w:w="2835" w:type="dxa"/>
          </w:tcPr>
          <w:p w:rsidR="008375CB" w:rsidRPr="00F228B4" w:rsidRDefault="008375CB" w:rsidP="00763890">
            <w:pPr>
              <w:widowControl w:val="0"/>
              <w:tabs>
                <w:tab w:val="left" w:pos="993"/>
              </w:tabs>
              <w:spacing w:after="0" w:line="240" w:lineRule="auto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ar-SA"/>
              </w:rPr>
              <w:t>Действующее вещество:</w:t>
            </w:r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</w:p>
          <w:p w:rsidR="008375CB" w:rsidRPr="00F228B4" w:rsidRDefault="008375CB" w:rsidP="008375CB">
            <w:pPr>
              <w:widowControl w:val="0"/>
              <w:tabs>
                <w:tab w:val="left" w:pos="993"/>
              </w:tabs>
              <w:suppressAutoHyphens/>
              <w:overflowPunct w:val="0"/>
              <w:autoSpaceDE w:val="0"/>
              <w:spacing w:after="0" w:line="240" w:lineRule="auto"/>
              <w:ind w:hanging="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Фенитоин</w:t>
            </w:r>
            <w:proofErr w:type="spellEnd"/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(</w:t>
            </w:r>
            <w:proofErr w:type="spellStart"/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дифенин</w:t>
            </w:r>
            <w:proofErr w:type="spellEnd"/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 - 0,117 г</w:t>
            </w:r>
          </w:p>
          <w:p w:rsidR="008375CB" w:rsidRPr="00F228B4" w:rsidRDefault="008375CB" w:rsidP="008375CB">
            <w:pPr>
              <w:widowControl w:val="0"/>
              <w:tabs>
                <w:tab w:val="left" w:pos="993"/>
              </w:tabs>
              <w:suppressAutoHyphens/>
              <w:overflowPunct w:val="0"/>
              <w:autoSpaceDE w:val="0"/>
              <w:spacing w:after="0" w:line="240" w:lineRule="auto"/>
              <w:ind w:hanging="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(смесь 5,5-дифенилгидантоина - 0,1г</w:t>
            </w:r>
          </w:p>
          <w:p w:rsidR="008375CB" w:rsidRPr="00F228B4" w:rsidRDefault="008375CB" w:rsidP="008375CB">
            <w:pPr>
              <w:widowControl w:val="0"/>
              <w:tabs>
                <w:tab w:val="left" w:pos="993"/>
              </w:tabs>
              <w:suppressAutoHyphens/>
              <w:overflowPunct w:val="0"/>
              <w:autoSpaceDE w:val="0"/>
              <w:spacing w:after="0" w:line="240" w:lineRule="auto"/>
              <w:ind w:hanging="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 натрия гидрокарбоната - 0,017 г</w:t>
            </w:r>
          </w:p>
          <w:p w:rsidR="008375CB" w:rsidRPr="00F228B4" w:rsidRDefault="008375CB" w:rsidP="008375CB">
            <w:pPr>
              <w:widowControl w:val="0"/>
              <w:tabs>
                <w:tab w:val="left" w:pos="993"/>
              </w:tabs>
              <w:suppressAutoHyphens/>
              <w:overflowPunct w:val="0"/>
              <w:autoSpaceDE w:val="0"/>
              <w:spacing w:after="0" w:line="240" w:lineRule="auto"/>
              <w:ind w:hanging="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в соотношении 85:15)</w:t>
            </w:r>
          </w:p>
        </w:tc>
      </w:tr>
      <w:tr w:rsidR="008375CB" w:rsidRPr="00F228B4" w:rsidTr="00521EF4">
        <w:trPr>
          <w:trHeight w:val="701"/>
        </w:trPr>
        <w:tc>
          <w:tcPr>
            <w:tcW w:w="2835" w:type="dxa"/>
          </w:tcPr>
          <w:p w:rsidR="008375CB" w:rsidRPr="00F228B4" w:rsidRDefault="008375CB" w:rsidP="008375CB">
            <w:pPr>
              <w:widowControl w:val="0"/>
              <w:tabs>
                <w:tab w:val="left" w:pos="993"/>
              </w:tabs>
              <w:suppressAutoHyphens/>
              <w:overflowPunct w:val="0"/>
              <w:autoSpaceDE w:val="0"/>
              <w:spacing w:after="0" w:line="240" w:lineRule="auto"/>
              <w:ind w:hanging="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ar-SA"/>
              </w:rPr>
              <w:t>Вспомогательные вещества:</w:t>
            </w:r>
          </w:p>
          <w:p w:rsidR="008375CB" w:rsidRPr="00F228B4" w:rsidRDefault="008375CB" w:rsidP="008375CB">
            <w:pPr>
              <w:widowControl w:val="0"/>
              <w:tabs>
                <w:tab w:val="left" w:pos="993"/>
              </w:tabs>
              <w:suppressAutoHyphens/>
              <w:overflowPunct w:val="0"/>
              <w:autoSpaceDE w:val="0"/>
              <w:spacing w:after="0" w:line="240" w:lineRule="auto"/>
              <w:ind w:hanging="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Натрия гидрокарбонат - 0,0320 г</w:t>
            </w:r>
          </w:p>
          <w:p w:rsidR="008375CB" w:rsidRPr="00F228B4" w:rsidRDefault="008375CB" w:rsidP="008375CB">
            <w:pPr>
              <w:widowControl w:val="0"/>
              <w:tabs>
                <w:tab w:val="left" w:pos="993"/>
              </w:tabs>
              <w:suppressAutoHyphens/>
              <w:overflowPunct w:val="0"/>
              <w:autoSpaceDE w:val="0"/>
              <w:spacing w:after="0" w:line="240" w:lineRule="auto"/>
              <w:ind w:hanging="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Крахмал картофельный - 0,0495 г</w:t>
            </w:r>
          </w:p>
          <w:p w:rsidR="008375CB" w:rsidRPr="00F228B4" w:rsidRDefault="008375CB" w:rsidP="008375CB">
            <w:pPr>
              <w:widowControl w:val="0"/>
              <w:tabs>
                <w:tab w:val="left" w:pos="993"/>
              </w:tabs>
              <w:suppressAutoHyphens/>
              <w:overflowPunct w:val="0"/>
              <w:autoSpaceDE w:val="0"/>
              <w:spacing w:after="0" w:line="240" w:lineRule="auto"/>
              <w:ind w:hanging="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Кальция </w:t>
            </w:r>
            <w:proofErr w:type="spellStart"/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стеарат</w:t>
            </w:r>
            <w:proofErr w:type="spellEnd"/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- 0,0007 г</w:t>
            </w:r>
          </w:p>
          <w:p w:rsidR="008375CB" w:rsidRPr="00F228B4" w:rsidRDefault="008375CB" w:rsidP="008375CB">
            <w:pPr>
              <w:widowControl w:val="0"/>
              <w:tabs>
                <w:tab w:val="left" w:pos="993"/>
              </w:tabs>
              <w:suppressAutoHyphens/>
              <w:overflowPunct w:val="0"/>
              <w:autoSpaceDE w:val="0"/>
              <w:spacing w:after="0" w:line="240" w:lineRule="auto"/>
              <w:ind w:hanging="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228B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Тальк - 0,0008 г</w:t>
            </w:r>
          </w:p>
        </w:tc>
      </w:tr>
    </w:tbl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228B4">
        <w:rPr>
          <w:rFonts w:ascii="Times New Roman" w:eastAsia="Times New Roman" w:hAnsi="Times New Roman" w:cs="Times New Roman"/>
          <w:b/>
          <w:spacing w:val="-12"/>
          <w:sz w:val="14"/>
          <w:szCs w:val="14"/>
          <w:lang w:eastAsia="ar-SA"/>
        </w:rPr>
        <w:t>Описание:</w:t>
      </w:r>
      <w:r w:rsidRPr="00F228B4">
        <w:rPr>
          <w:rFonts w:ascii="Times New Roman" w:eastAsia="Times New Roman" w:hAnsi="Times New Roman" w:cs="Times New Roman"/>
          <w:spacing w:val="-12"/>
          <w:sz w:val="14"/>
          <w:szCs w:val="14"/>
          <w:lang w:eastAsia="ar-SA"/>
        </w:rPr>
        <w:t xml:space="preserve">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Круглые плоскоцилиндрические таблетки белого или почти белого цвета с фаской.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Фармакотерапевтическая группа: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противоэпилептическое средство</w:t>
      </w:r>
    </w:p>
    <w:p w:rsidR="008375CB" w:rsidRPr="00F228B4" w:rsidRDefault="008375CB" w:rsidP="008375CB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Код АТХ: </w:t>
      </w:r>
      <w:r w:rsidRPr="00F228B4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N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03</w:t>
      </w:r>
      <w:r w:rsidRPr="00F228B4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AB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02.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Фармакологическое действие: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— противоэпилептическое лекарственное средство из группы производных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гидантоина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. Механизм противосудорожного действия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до конца не установлен. Считают, что специфическое влияние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реализуется при эпилепсии путем снижения возбудимости нейронов эпилептического очага и воздействием на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нейромедиаторы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  <w:r w:rsidRPr="00F228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влияет на активный и пассивный транспорт ионов натрия и кальция через клеточные и субклеточные мембраны нервных клеток. Уменьшает уровень натрия в нейроне, снижает его поступление, блокируя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Na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+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/K</w:t>
      </w:r>
      <w:r w:rsidRPr="00F228B4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+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АТФазу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мозга и облегчает активный транспорт натрия из клетки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, тем самым предупреждает генерацию и распространение высокочастотных разрядов.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изменяет кальций-фосфолипидное взаимодействие в клеточной мембране и уменьшает активный внутриклеточный транспорт кальция, тормозит выброс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нейромедиаторных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аминокислот (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глутамата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аспартата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) из нервных окончаний, чем обеспечивает противосудорожный эффект.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обладает способностью подавлять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глутаматные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рецепторы.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уменьшает повышенную активность центров ствола мозга, ответственных за тоническую фазу тонико-клонических судорог (большого судорожного припадка).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b/>
          <w:i/>
          <w:sz w:val="14"/>
          <w:szCs w:val="14"/>
          <w:lang w:eastAsia="ar-SA"/>
        </w:rPr>
        <w:t>Фармакокинетика</w:t>
      </w:r>
      <w:proofErr w:type="spellEnd"/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Имеет эффект «первого прохождения» через печень.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Биодоступность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меньше 50%. Проникает в </w:t>
      </w:r>
      <w:proofErr w:type="gram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спинно-мозговую</w:t>
      </w:r>
      <w:proofErr w:type="gram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жидкость, слюну, сперму, желудочный и кишечный сок, желчь, грудное молоко, проникает через плаценту. В значительной степени (до 90% и более) связывается с белками плазмы. Время достижения максимальной концентрации препарата в сыворотке крови составляет 1,5-3 часа. Терапевтическая концентрация препарата в сыворотке крови составляет 10-20 мкг/мл (40-80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мкмоль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/л). Стабильная концентрация обычно достигается на 7-10 день при приеме средней суточной дозы 300 мг/день. Пиковые концентрации в плазме крови достигаются через 1,5-3 часа после приема препарата. Концентрация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сыворотке, необходимая для достижения терапевтического эффекта, может зависеть от типа эпилептических припадков.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метаболизируется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ферментами печени до неактивных метаболитов. 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>Основной неактивный метаболит –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5-(</w:t>
      </w: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р-</w:t>
      </w:r>
      <w:proofErr w:type="spellStart"/>
      <w:proofErr w:type="gram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гидроксифенил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)-</w:t>
      </w:r>
      <w:proofErr w:type="gram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5-фенилгидантоин. Возможна кумуля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ция препарата и как следствие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– развитие непредвиденных токсических эффектов. Период полувыведения – в среднем составляет 22 часа и может варьировать от 7 до 42 часов. Выводится почками – 35-60%, с желчью – 40-65%. Выведение повышается при щелочной реакции мочи.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b/>
          <w:i/>
          <w:sz w:val="14"/>
          <w:szCs w:val="14"/>
          <w:lang w:eastAsia="ar-SA"/>
        </w:rPr>
        <w:t>Фармакокинетика</w:t>
      </w:r>
      <w:proofErr w:type="spellEnd"/>
      <w:r w:rsidRPr="00F228B4">
        <w:rPr>
          <w:rFonts w:ascii="Times New Roman" w:eastAsia="Times New Roman" w:hAnsi="Times New Roman" w:cs="Times New Roman"/>
          <w:b/>
          <w:i/>
          <w:sz w:val="14"/>
          <w:szCs w:val="14"/>
          <w:lang w:eastAsia="ar-SA"/>
        </w:rPr>
        <w:t xml:space="preserve"> в особых группах</w:t>
      </w:r>
    </w:p>
    <w:p w:rsidR="008375CB" w:rsidRPr="00F228B4" w:rsidRDefault="008375CB" w:rsidP="008375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У пациентов с почечной или печеночной недостаточностью, а также у пациентов с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гипоальбуминемии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при применении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увеличивается концентрация несвязанного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, что требует тщательного подбора доз и применения с осторожностью.</w:t>
      </w:r>
    </w:p>
    <w:p w:rsidR="008375CB" w:rsidRPr="00F228B4" w:rsidRDefault="008375CB" w:rsidP="008375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i/>
          <w:sz w:val="14"/>
          <w:szCs w:val="14"/>
          <w:lang w:eastAsia="ar-SA"/>
        </w:rPr>
        <w:t>Возраст</w:t>
      </w:r>
    </w:p>
    <w:p w:rsidR="008375CB" w:rsidRPr="00F228B4" w:rsidRDefault="008375CB" w:rsidP="008375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Сывороточная концентрация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 20% ниже у пациентов, старше 70 лет по сравнению с пациентами в возрасте 20-30 лет. </w:t>
      </w:r>
    </w:p>
    <w:p w:rsidR="008375CB" w:rsidRPr="00F228B4" w:rsidRDefault="008375CB" w:rsidP="008375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Пол и раса не оказывают существенного влияния на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фармакокинетику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8375CB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проникает через плаценту и достигает плода, у плода и матери обнаруживаются сходные концентрации в плазме.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накапливается в печени плода.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Показания к применению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Большие судорожные припадки (</w:t>
      </w:r>
      <w:r w:rsidRPr="00F228B4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grand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 w:rsidRPr="00F228B4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mal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), сопровождающихся потерей сознания, произвольным мочеиспусканием, тоническими судорогами, переходящими в клонические,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сложные парциальные припадки; для профилактики и лечения судорог, возникающих вовремя или после нейрохирургических операций и / или тяжелой травмы головного мозга.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не эффективен для профилактики и лечения фебрильных судорог, при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абсансах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миоклонических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судорожных приступах.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Противопоказания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F228B4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Гиперчувствительность к компонентам препарата и препаратам группы производных </w:t>
      </w:r>
      <w:proofErr w:type="spellStart"/>
      <w:r w:rsidRPr="00F228B4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гидантоина</w:t>
      </w:r>
      <w:proofErr w:type="spellEnd"/>
      <w:r w:rsidRPr="00F228B4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; декомпенсированная сердечная недостаточность, атриовентрикулярная блокада, синдром слабости синусового узла, легочная недостаточность, выраженная гипотензия (систолическое артериальное давление менее 90 мм </w:t>
      </w:r>
      <w:proofErr w:type="spellStart"/>
      <w:r w:rsidRPr="00F228B4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рт.ст</w:t>
      </w:r>
      <w:proofErr w:type="spellEnd"/>
      <w:r w:rsidRPr="00F228B4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.), брадикардия (менее 50 ударов в минуту), </w:t>
      </w:r>
      <w:proofErr w:type="spellStart"/>
      <w:r w:rsidRPr="00F228B4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синоатриальная</w:t>
      </w:r>
      <w:proofErr w:type="spellEnd"/>
      <w:r w:rsidRPr="00F228B4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 блокада, мерцательная аритмия, трепетание предсердий, одновременный прием с другими противоэпилептическими препаратами; первые три месяца после инфаркта миокарда и при снижении сердечного выброса (фракция выброса левого желудочка более 35%), детский возраст до 3-х лет.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С осторожностью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Алкоголизм, сахарный диабет, системная красная волчанка, фибрилляция предсердий, трепетание предсердий, пациенты пожилого возраста,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легочная недостаточность,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при гипертермии, почечная и/или печеночная недостаточность, пациенты с суицидальным поведением в анамнезе, в период обострения депрессивного расстройства.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Применение при беременности и в период грудного вскармливания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Препарат противопоказан в период беременности. При наступлении беременности необходимо проинформировать пациентку о потенциальной угрозе для плода.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период беременности может приводить к нарушению внутриутробного развития плода. У детей, чьи матери принимали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монотерапии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а также в комбинации с другими противосудорожными средствами отмечено повышение частоты пороков развития и нарушений умственного развития. Помимо этого, известно, что дети матерей, страдающих эпилепсией, предрасположены к нарушению внутриутробного развития, включая врожденные пороки. Сообщалось о нескольких случаях злокачественных опухолей, в том числе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нейробластомы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у детей, чьи матери принимали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период беременности. У новорожденных отмечены случаи развития </w:t>
      </w:r>
      <w:proofErr w:type="gram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угрожающих жизни кровотечений</w:t>
      </w:r>
      <w:proofErr w:type="gram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связанных со снижением уровня витамина К и нарушений в системе свертывания крови у новорожденных, подвергшихся воздействию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период внутриутробного развития. Женщины детородного возраста должны соблюдать контрацепцию при применении препарата.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выделяется с грудным молоком в небольших количествах, однако применение препарата не рекомендуется при грудном вскармливании в связи с развитием возможных побочных реакций у новорожденного.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Способ применения и дозы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Внутрь, </w:t>
      </w:r>
      <w:proofErr w:type="gram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во время</w:t>
      </w:r>
      <w:proofErr w:type="gram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или сразу после еды. Режим дозирования требуется подбирать для каждого пациента индивидуально в соответствии с ответом на терапию и с учетом уровня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 крови. Лечение начинают с низких доз с постепенным их увеличением до достижения эффекта или до появления токсических эффектов препарата. В ряде случаев для оптимального подбора режима дозирования необходим постоянный контроль плазменных концентраций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Терапевтический диапазон концентрации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 составляет 10-20 µг/мл (от 40 до 80 µмоль/л), однако при лечении некоторых видов тонико-клонических судорог эффект может быть достигнут при менее широком диапазоне плазменной концентрации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Необходимо соблюдать рекомендованный неизменный режим дозирования в течение первых 7-10 дней лечения для достижения терапевтических концентраций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плазме. В дальнейшем поддерживающая терапия должна проводиться с применением наименьших доз.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  <w:t>Режим дозирования у взрослых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Лечение начинают с дозы 100 мг (1 таблетка) от 2 до 4 раз в день. В последующие 7-10 дней возможно повышение дозы до максимальной - 600 мг в сутки. Стандартная поддерживающая доза составляет от 200 до 500 мг в сутки, разделенная на несколько приемов. В исключительных случаях суточная доза может выходить за установленные пределы, в этом случае коррекцию дозы следует проводить в соответствии с уровнем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 случае необходимости перевода пациента с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на другую противосудорожную терапию требуется постепенная отмена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течение 1 недели.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  <w:t>Режим дозирования при почечной и печеночной недостаточности.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При применении препарата у этой категории пациентов может потребоваться снижение дозы с учетом сывороточной концентрации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Требуется пересмотр дозировки при совместном применении с некоторыми препаратами (см. раздел «Взаимодействие с другими лекарственными препаратами»).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  <w:t>Режим дозирования у детей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Начальная доза- 5 мг/кг/день, разделенная на 2-3 приема, с последующим переходом на индивидуальный режим дозирования, максимальная суточная доза - 300мг в день. Рекомендуемая суточная поддерживающая доза 4-8 мг/кг в сутки.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Побочное действие: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 xml:space="preserve">Нижеприведенные нежелательные явления отмечались при проведении терапии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фенитоином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 xml:space="preserve">. Требуется тщательный анализ причин развития нежелательных явлений, поскольку не все из перечисленных ниже побочных действий связаны с применением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 w:bidi="ru-RU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 w:bidi="ru-RU"/>
        </w:rPr>
        <w:t>Нарушения со стороны иммунной системы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 xml:space="preserve">Узелковый периартериит, анафилактические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анафилактоидные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 xml:space="preserve"> реакции, синдром гиперчувствительности, в редких случаях со смертельным исходом. Клинические проявления синдрома гиперчувствительности включали, но не ограничивались артралгией,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эозинофилией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 xml:space="preserve">, лихорадкой, нарушением функции печени,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лимфоаденопатией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 xml:space="preserve"> или сыпью. Возможно также развитие системной красной волчанки, изменение уровня иммуноглобулина в крови.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 w:bidi="ru-RU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 w:bidi="ru-RU"/>
        </w:rPr>
        <w:t xml:space="preserve">Нарушения со стороны центральной нервной системы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 xml:space="preserve">Наибольшая частота встречаемости побочных действий характерна именно для центральной нервной системы, эти явления носят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дозозависимый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 xml:space="preserve"> характер и включают нистагм, атаксию, нарушение речи, нарушение координации движений, парестезии, сонливость, спутанность сознания,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вертиго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 xml:space="preserve">, бессонница, раздражительность, подергивания в мышцах, извращение вкусовых ощущений и головная боль. В редких случаях отмечались дискинезии, в том числе хорея, дистония, тремор и «порхающий» тремор (сходные явления отмечены в ходе терапии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фенотиазином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 xml:space="preserve"> и другими нейролептиками); агрессивность, дегенерация мозжечка, снижение умственной работоспособности, депрессия, энцефалопатия, усталость, онемение, парадоксальные судороги. При длительной терапии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фенитоином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 xml:space="preserve"> отмечена периферическая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нейропатия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  <w:t>, преимущественно сенсорного типа.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 w:bidi="ru-RU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Нарушения со стороны кожи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Тяжелые кожные реакции - синдром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Стивенса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-Джонсона и токсический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эпидермальный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некролиз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; гирсутизм, гипертрихоз, </w:t>
      </w:r>
      <w:r w:rsidRPr="00F228B4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DRESS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-синдром (аллергические реакции с сопутствующей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эозинофилией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системными проявлениями). Нарушения со стороны кожи по типу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скарлатиноподобных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или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кореподобных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высыпаний в ряде случаев сопровождались лихорадкой. Более часто встречаются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кореподобные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высыпания. Возможно развитие более серьезных, но более редких нарушений со стороны кожи, таких как синдром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Стивенса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-Джонсона; буллезный,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эксфолиативный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дерматиты, системная красная волчанка или токсический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эпидермальный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некролиз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Нарушения со стороны соединительной ткани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 редких случаях возможно огрубение черт лица, увеличение губ, гирсутизм, гипертрихоз, болезнь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Пейрони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контрактура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Дюпюитрена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Нарушения со стороны органов кроветворения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Нарушение функции печени,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мегалобластная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анемия, лейкопения, тромбоцитопения,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гранулоцитопения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агранулоцитоз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;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панцитопения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сопровождающаяся или не сопровождающаяся подавлением функции костного мозга, при применении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лимфоаденопатия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(местная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генерализованная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),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лимфома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псевдолимфома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снижение уровня иммуноглобулина А в плазме, узелковый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полиартериит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болезнь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Ходжкина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доброкачественная гиперплазия лимфатических узлов. Развитие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лимфоаденопатии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свидетельствует о необходимости проведения дифференциальной диагностики с другими патологиями, проявляющимися поражением лимфоузлов.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Нарушения со стороны органа зрения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Диплопия.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Нарушения со стороны органов дыхания, органов грудной клетки и средостения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Пневмония.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Нарушения со стороны желудочно-кишечного тракта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Тошнота, рвота, запор, гиперплазия десен.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Нарушения со стороны </w:t>
      </w:r>
      <w:proofErr w:type="spellStart"/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гепатобилиарной</w:t>
      </w:r>
      <w:proofErr w:type="spellEnd"/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системы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Поражение печени, токсический гепатит.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Нарушения со стороны почек и мочевыводящей системы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Интерстициальный нефрит.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Общие нарушения и расстройства в месте введения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Усталость.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Нарушения со стороны скелетно-мышечной системы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Остеомаляция,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остеопения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остеопороз, снижение минеральной плотности костей, переломы костей (при долгосрочном (более 10 лет) применении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),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гипокальциемия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гипофосфатемия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, снижение содержания метаболитов витамина Д, рахит.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Передозировка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Смертельная доза составляет от 2 до 5 г. Симптомы: нистагм, атаксия, и дизартрия. Другие признаки - тремор,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гиперрефлексия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сонливость, невнятная речь, тошнота, рвота, кома и гипотония.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Смерть наступает в результате дыхательной и сердечно-сосудистой недостаточности.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Нистагм может возникать при передозировке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составляющей </w:t>
      </w:r>
      <w:r w:rsidR="007638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20 мкг/мл, атаксия - 30 мкг/мл, дизартрия и летаргии появляются при концентрации в плазме составляет более 40 мкг/мл. Также сообщалось о случае передозировки при применении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дозе в 25 раз превышающей терапевтическую дозу, при этом концентрация в сыворотки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lastRenderedPageBreak/>
        <w:t>крови составляла более 100 мкг/мл, с последующим полным восстановлением.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Лечение: применяют активированный уголь, слабительные лекарственные средства, проводят симптоматическую терапию. Антидот не существует.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Необходимо поддержание функции дыхания и сердечно-сосудистой системы. Возможно применение гемодиализа.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Взаимодействие с другими лекарственными средствами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Влияние других препаратов на </w:t>
      </w:r>
      <w:proofErr w:type="spellStart"/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фенитоин</w:t>
      </w:r>
      <w:proofErr w:type="spellEnd"/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Амиодарон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противогрибковые препараты (такие как, но не ограничиваясь,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амфотерицин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флуконазол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кетоконазол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миконазол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итраконазол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),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хлорамфеникол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хлордиазепоксид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диазепам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дикумарин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дилтиазем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(при этом эффект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дилтиазема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снижается),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дисульфирам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флуоксетин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флувоксамин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сертралин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Н2-антагонисты, например,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циметидин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галотан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изониазид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метилфенидат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нифедипин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омепразол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эстрогены,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фенотиазины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фенилбутазон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салицилаты,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сукцинимиды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сульфаниламиды,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толбутамид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(повышение токсичности),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тразодон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варфарин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вилоксазин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могут увеличить концентрацию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сыворотке крови.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Фолиевая кислота, резерпин,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рифампицин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сукральфат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теофиллин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вигабатрин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могут снизить уровень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сыворотке.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Возможно уменьшение концентрации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 крови при совместном применении с препаратами зверобоя (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Hypericum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perforatum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). Препараты, содержащие зверобой, не рекомендуется применять совместно с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. Назначение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возможно спустя 2 недели после прекращения терапии препаратами зверобоя. Фармакокинетические исследования взаимодействия между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нелфинавиром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после перорального приема показали, что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нелфинавир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уменьшает А</w:t>
      </w:r>
      <w:r w:rsidRPr="00F228B4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U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С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(общего) и свободного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на 29% и 28%, соответственно. Таким образом, концентрация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должна контролироваться в ходе совместного введения с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нелфинавиром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а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нелфинавир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может снизить концентрацию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Карбамазепин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фенобарбитал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вальпроевая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кислота,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вальпроат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натрия, противоопухолевые средства, некоторые антациды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ципрофлоксацин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могут увеличить или уменьшить уровень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сыворотке крови.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Ингибиторы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моноаминооксидазы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ингибиторы обратного захвата серотонин снижают противосудорожное действие противоэпилептических препаратов (снижается судорожный порог).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Влияние </w:t>
      </w:r>
      <w:proofErr w:type="spellStart"/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на другие препараты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снижает эффективность противогрибковых препаратов (например,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азолов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), противоопухолевых препаратов, блокаторов кальциевых каналов (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фелодипина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верапамила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исрадипина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дигидропиридинов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никардипина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нифедипина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).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уменьшает концентрацию в плазме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нисолдипина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клозапина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кортикостероидов,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циклоспорина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дикумарина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дигитоксина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доксициклина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фуросемида,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ламотриджина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блокаторов нервно- мышечной передачи, эстрогенов (снижается контрацептивный эффект), оральных контрацептивов,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пароксетина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сертралина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хинидина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рифампицина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теофиллина и витамина </w:t>
      </w:r>
      <w:r w:rsidRPr="00F228B4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D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Эффект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усиливается при совместном применении с аспирином.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уменьшает плазменную концентрацию трициклических антидепрессантов.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усиливает действие нестероидных противовоспалительных средств, ускоряет метаболизм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метадона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(снижение эффекта и риск синдрома отмены).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может привести к незначительному снижению сывороточных уровней общего и свободного тироксина, возможно, в результате повышенного периферического метаболизма (с возможным повышением концентрации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плазме).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Эти изменения не приводят к клиническому гипотиреозу и не влияют на уровень циркулирующего тиреотропного гормона.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не оказывает влияния на результаты тестов, используемых в диагностике гипотиреоза.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может привести к повышению сывороточных уровней глюкозы, щелочной фосфатазы, гамма-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глутамилтранспептидазы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снижению уровня кальция и фолиевой кислоты в сыворотке. Рекомендуется измерять концентрацию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фолатов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фолиевой кислоты в сыворотке по крайней мере, один раз в 6 месяцев.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может оказать влияние на метаболизм глюкозы и результаты определения глюкозы в крови.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Антиаритмики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: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снижает концентрацию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дизопирамида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плазме; ускоряет метаболизм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мексилетина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(снижает концентрацию в плазме).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Антибактериальные препараты: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замедляет метаболизм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кларитромицина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метронидазола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(увеличение концентрации в плазме); ускоряет метаболизм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рифампицинов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(снижение концентрации в плазме); уменьшает концентрацию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телитромицина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 (избегать </w:t>
      </w:r>
      <w:proofErr w:type="gram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во время</w:t>
      </w:r>
      <w:proofErr w:type="gram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в течение 2 недель после применения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); увеличивается концентрация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триметоприма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 при приеме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Антикоагулянты: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увеличивает метаболизм кумаринов (</w:t>
      </w:r>
      <w:proofErr w:type="gram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возможно</w:t>
      </w:r>
      <w:proofErr w:type="gram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как уменьшение, так и повышение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антикоагулянтного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эффекта).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Антидепрессанты: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снижает концентрацию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миансерина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миртазапина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Особые указания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Во время лечения необходим тщательный подбор доз (при эпилепсии определяют концентрацию в крови на 7-10 день лечения) так как увеличение дозы может сопровождаться непропорциональным повышением концентрации плазмы в крови.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У большинства пациентов при приеме стабильных доз поддерживается стабильная концентрация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сыворотке. Тем не менее у отдельных пациентов могут отмечаться значительные вариации сывороточных концентраций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при применении эквивалентных доз. Пациент с большими колебаниями уровня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плазме, несмотря на применение стандартных доз, представляет собой сложную клиническую проблему. Определения в сыворотке крови уровня у таких больных имеет решающее значение.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 некоторых случаях развитие эпилептического припадка возможно предупредить при концентрации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сыворотке 6-9 мкг/мл (24-36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мкмоль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/л). Хотя связь между концентрацией препарата, клинической эффективностью и переносимостью различна у пациентов, эффективность лечения следует оценивать по клиническим признакам заболевания и по концентрации препарата в сыворотке, особенно в тех </w:t>
      </w:r>
      <w:proofErr w:type="gram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случаях</w:t>
      </w:r>
      <w:proofErr w:type="gram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когда отмечается изменение частоты приступов, при лечении детей и подростков, при подозрении на развитие токсических реакций и в случаи комбинированной противосудорожной терапии.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Не рекомендуется применение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монотерапии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абсансов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назначение комбинированной терапии в случае совместного развития тонико-клонических судорог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абсансов</w:t>
      </w:r>
      <w:proofErr w:type="spellEnd"/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Не рекомендуется применение у пациентов с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порфирией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так как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Дифенин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может провоцировать обострение заболевания.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 период лечения необходимо контролировать содержание кальция и фосфора в сыворотки крови. При длительном лечении возможно развитие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остеопении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остеопороза, остеомаляции за счет снижения минеральной плотности костей, переломов костей, обусловленное развитием гиповитаминоза Д,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гипокальциемии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гипофосфатемии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. Точный механизм влияния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на обмен веществ в костной ткани неизвестен; при длительной терапии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требуется сопутствующий прием препаратов витамина Д.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При применении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 детей в период роста повышается риск развития побочных эффектов со стороны соединительной ткани.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При лечении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начале терапии ежемесячно, а в последующем раз в полгода необходимо проводить клинический анализ крови, печеночных ферментов, щелочной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фосфотазы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а также контролировать функцию щитовидной железы. Пациенты должны быть информированы о важности строго соблюдения предписанного режима дозирования, внезапное прекращение приема препарата недопустимо и может спровоцировать эпилептический приступ.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должен быть незамедлительно отменен при появлении реакций гиперчувствительности или симптомов, предположительно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свидетельствующих о возможном развитии синдрома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Стивенса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-Джонсона или синдрома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Лайелла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. Лекарственно - индуцированный синдром гиперчувствительности (системная реакция идиосинкразии) - редкое, но потенциально опасное осложнение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антиэпилептической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терапии. Клинические проявления включают лихорадку,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макулопапулезную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сыпь,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лимфоаденопатию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лейкоцитоз в сочетании с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эозинофилией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и/или лимфоцитозом. В патологический процесс могут вовлекаться различные системы органов с развитием гепатита, нефрита,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пневмопатии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других. Синдром описан при приеме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карбамазепина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фенобарбитала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вальпроатов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(встречается крайне редко).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Этиология и патогенез развития синдрома неизвестны. Развитие синдрома чаще всего отмечается в период от 2 до 4 недель с момента начала терапии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 возможным развитием в период 3-х и более месяцев с начала терапии. В случае развития синдрома требуется отмена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назначение соответствующей терапии. Более высокий риск развития синдрома отмечается у пациентов со снижением иммунитета и системными аллергическими реакциями в анамнезе.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Больным с нарушением функции печени, и лицам пожилого возраста необходима коррекция режима дозирования.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При острой алкогольной интоксикации концентрация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крови повышается, при хронической интоксикации снижается. Необходимо предупредить пациента о необходимости отказаться от применения алкогольсодержащих напитков при лечении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При лечении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возможно развитие токсических эффектов со стороны центральной нервной системы при превышении допустимой терапевтической концентрации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плазме: делирия, психоза, энцефалопатии или, в редких случаях, дисфункции мозжечка.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 некоторых случаях лечение противоэпилептическими препаратами, в том числе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сопровождалось возникновением суицидальных мыслей /попыток. Это было также подтверждено при проведении мета-анализа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рандомизированных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клинических исследований. Эпилепсия также может провоцировать появление суицидальных мыслей. Пациентов и их окружение необходимо предупредить о возможности появления суицидальных мыслей и, в случае их появления, необходимо немедленно обратиться за медицинской помощью.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может снизить концентрации T4 в сыворотке.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может привести к увеличению в сыворотке крови глюкозы, щелочной фосфатазы и гамма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глутамилтранспептидазы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(ГГТ).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влияет на метаболизм глюкозы и выработку инсулина, возможно развитие гипергликемии при токсической концентрации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плазме, поэтому невозможно применение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 терапии судорог на фоне гипогликемии или судорог, обусловленных метаболическими нарушениями.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При лечении противоэпилептическими препаратами, в том числе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описаны случаи развития 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тяжелого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эксфолиативного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дерматита, сопровождающегося лихорадкой,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эозинофилией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системными проявлениями (</w:t>
      </w:r>
      <w:r w:rsidRPr="00F228B4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DRESS</w:t>
      </w: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-синдром), с развитием угрожающих для жизни состояний и смертельным исходом. Синдром лекарственно-индуцированной гиперчувствительности с </w:t>
      </w:r>
      <w:proofErr w:type="spellStart"/>
      <w:r w:rsidRPr="00F228B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эозинофилией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(DRESS) характеризуется как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жизнеугрожающая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системная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мультиорганная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реакция, проявляющаяся высыпаниями, лихорадкой,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лимфаденопатией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лейкоцитозом с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эозинофилией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гепатитом, а также вовлечением других органов, с развитием нефрита, гематологических нарушений, миокардита, миозита и т.п. При появлении первых признаков необходимо незамедлительно провести полное обследование пациента и прекратить лечение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Дифенином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Отмечались случаи развития острой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гепатотоксичности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при применении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фенитоина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проявлениями которой могут быть желтуха,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гепатомегалия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высокий уровень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трансаминаз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лейкоцитоз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эозинофилия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Это может быть, как одним из проявлений DRESS-синдрома, так и изолированным синдромом. У таких пациентов необходимо незамедлительно прекратить терапию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Дифенином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При применении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Дифенина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возможно появление изменений со стороны системы кроветворения, включающие в себя тромбоцитопению, лейкопению,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гранулоцитопению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агранулоцитоз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панцитопению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иногда со смертельными исходами. Отмечались случаи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лимфоденопатии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доброкачественной гиперплазии лимфатических узлов,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псевдолимфом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болезни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Ходжкина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. Необходимо тщательное наблюдение за пациентами при развитии данных реакции на фоне терапии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фенитоином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, и своевременная коррекция терапии.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Макроцитоз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мегалобластная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анемия успешно купируются при проведении курса лечения фолиевой кислотой. При поражении лимфоузлов могут отмечаться лихорадка, сыпь и поражение печени, однако эти проявления могут и отсутствовать. При любой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лимфоаденопатии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требуется длительный период мониторинга состояния пациентов с рассмотрением возможности применения противоэпилептических препаратов других групп.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Влияние на способность управлять транспортными средствами, механизмами.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В период лечения необходимо воздержаться от вождения автотранспорта и занятий потенциально опасными видами деятельности, требующих повышенной концентрации внимания и быстроты психомоторной реакции.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Форма выпуска.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Таблетки 0,117 г. </w:t>
      </w:r>
    </w:p>
    <w:p w:rsidR="008375CB" w:rsidRPr="00F228B4" w:rsidRDefault="008375CB" w:rsidP="008375CB">
      <w:pPr>
        <w:tabs>
          <w:tab w:val="left" w:pos="993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По 10 таблеток в контурную ячейковую упаковку из поливинилхлоридной пленки и фольги алюминиевой печатной лакированной.</w:t>
      </w:r>
    </w:p>
    <w:p w:rsidR="008375CB" w:rsidRPr="00F228B4" w:rsidRDefault="008375CB" w:rsidP="008375CB">
      <w:pPr>
        <w:tabs>
          <w:tab w:val="left" w:pos="993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По 10 таблеток в контурную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безъячейковую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упаковку из бумаги с полимерным покрытием.</w:t>
      </w:r>
    </w:p>
    <w:p w:rsidR="008375CB" w:rsidRPr="00F228B4" w:rsidRDefault="008375CB" w:rsidP="008375CB">
      <w:pPr>
        <w:tabs>
          <w:tab w:val="left" w:pos="993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По 20 таблеток в банки оранжевого стекла с винтовой горловиной с навинчиваемыми крышками, или банку полимерную с контролем первого вскрытия и амортизатором, или банку из полиэтилентерефталата для лекарственных средств с крышкой винтовой или с контролем первого вскрытия. </w:t>
      </w:r>
    </w:p>
    <w:p w:rsidR="008375CB" w:rsidRPr="00F228B4" w:rsidRDefault="008375CB" w:rsidP="008375CB">
      <w:pPr>
        <w:tabs>
          <w:tab w:val="left" w:pos="993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Каждую банку или по 1, 2 ,3, 5 контурных ячейковых или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безъячейковых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упаковки вместе с инструкцией по применению помещают в пачку из картона.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200, 400, 500 или 600 контурных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безъячейковых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упаковок с равным количеством инструкций по применению помещают в коробку из картона (Для стационаров).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Срок годности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5 лет.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Не использовать по истечении срока годности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Условия хранения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 сухом, защищенном от света месте при температуре не выше 25 °С. 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Хранить в недоступном для детей месте.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Условия отпуска из аптек</w:t>
      </w: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Отпускается по рецепту.</w:t>
      </w:r>
    </w:p>
    <w:p w:rsidR="008375CB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375CB" w:rsidRPr="00F228B4" w:rsidRDefault="008375CB" w:rsidP="008375CB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Производитель\Организация, принимающая претензии потребителей</w:t>
      </w:r>
    </w:p>
    <w:p w:rsidR="008375CB" w:rsidRPr="00F228B4" w:rsidRDefault="008375CB" w:rsidP="008375CB">
      <w:pPr>
        <w:widowControl w:val="0"/>
        <w:tabs>
          <w:tab w:val="left" w:pos="993"/>
          <w:tab w:val="left" w:pos="109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ОАО «Усолье-Сибирский </w:t>
      </w:r>
      <w:proofErr w:type="spellStart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химфармзавод</w:t>
      </w:r>
      <w:proofErr w:type="spellEnd"/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»</w:t>
      </w:r>
    </w:p>
    <w:p w:rsidR="008375CB" w:rsidRPr="00F228B4" w:rsidRDefault="008375CB" w:rsidP="008375CB">
      <w:pPr>
        <w:widowControl w:val="0"/>
        <w:tabs>
          <w:tab w:val="left" w:pos="993"/>
          <w:tab w:val="left" w:pos="109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Россия, 665462, Иркутская область, г. Усолье-Сибирское, северо-западная часть города, с северо-восточной стороны, в 115 м от Прибайкальской автодороги.</w:t>
      </w:r>
    </w:p>
    <w:p w:rsidR="00A47CBC" w:rsidRPr="008375CB" w:rsidRDefault="008375CB" w:rsidP="008375CB">
      <w:pPr>
        <w:widowControl w:val="0"/>
        <w:tabs>
          <w:tab w:val="left" w:pos="993"/>
          <w:tab w:val="left" w:pos="109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28B4">
        <w:rPr>
          <w:rFonts w:ascii="Times New Roman" w:eastAsia="Times New Roman" w:hAnsi="Times New Roman" w:cs="Times New Roman"/>
          <w:sz w:val="14"/>
          <w:szCs w:val="14"/>
          <w:lang w:eastAsia="ar-SA"/>
        </w:rPr>
        <w:t>Тел.: (39543) 5-89-10, факс:5-89-08</w:t>
      </w:r>
      <w:bookmarkEnd w:id="0"/>
    </w:p>
    <w:sectPr w:rsidR="00A47CBC" w:rsidRPr="008375CB" w:rsidSect="009547EB">
      <w:type w:val="continuous"/>
      <w:pgSz w:w="10206" w:h="20979" w:code="8"/>
      <w:pgMar w:top="567" w:right="397" w:bottom="567" w:left="397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35"/>
    <w:rsid w:val="00350A2B"/>
    <w:rsid w:val="0051719D"/>
    <w:rsid w:val="006A704F"/>
    <w:rsid w:val="00763890"/>
    <w:rsid w:val="008375CB"/>
    <w:rsid w:val="009547EB"/>
    <w:rsid w:val="00A47CBC"/>
    <w:rsid w:val="00BF4335"/>
    <w:rsid w:val="00F2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9ED5C-6CBA-4C39-89F5-1C0D599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8</cp:revision>
  <dcterms:created xsi:type="dcterms:W3CDTF">2016-04-08T03:01:00Z</dcterms:created>
  <dcterms:modified xsi:type="dcterms:W3CDTF">2016-04-08T06:27:00Z</dcterms:modified>
</cp:coreProperties>
</file>